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4F" w:rsidRDefault="0012284F" w:rsidP="0012284F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0" w:name="pr118"/>
      <w:bookmarkEnd w:id="0"/>
      <w:r>
        <w:rPr>
          <w:rFonts w:ascii="Tahoma" w:hAnsi="Tahoma" w:cs="Tahoma"/>
          <w:noProof/>
          <w:color w:val="222222"/>
        </w:rPr>
        <w:drawing>
          <wp:inline distT="0" distB="0" distL="0" distR="0">
            <wp:extent cx="190500" cy="139065"/>
            <wp:effectExtent l="0" t="0" r="0" b="0"/>
            <wp:docPr id="4" name="Kép 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222222"/>
        </w:rPr>
        <w:t>„A” jelű betétlap</w:t>
      </w:r>
      <w:r>
        <w:rPr>
          <w:rFonts w:ascii="Tahoma" w:hAnsi="Tahoma" w:cs="Tahoma"/>
          <w:b/>
          <w:bCs/>
          <w:color w:val="222222"/>
        </w:rPr>
        <w:br/>
        <w:t xml:space="preserve">2011. adóévről a/az </w:t>
      </w:r>
      <w:r>
        <w:rPr>
          <w:rFonts w:ascii="Tahoma" w:hAnsi="Tahoma" w:cs="Tahoma"/>
          <w:b/>
          <w:bCs/>
          <w:color w:val="222222"/>
        </w:rPr>
        <w:t>TÖLTÉSTAVA</w:t>
      </w:r>
      <w:bookmarkStart w:id="1" w:name="_GoBack"/>
      <w:bookmarkEnd w:id="1"/>
      <w:r>
        <w:rPr>
          <w:rFonts w:ascii="Tahoma" w:hAnsi="Tahoma" w:cs="Tahoma"/>
          <w:b/>
          <w:bCs/>
          <w:color w:val="222222"/>
        </w:rPr>
        <w:t xml:space="preserve"> önkormányzat illetékességi területén folytatott állandó jellegű iparűzési tevékenység utáni adókötelezettségről szóló helyi iparűzési adóbevalláshoz</w:t>
      </w:r>
    </w:p>
    <w:p w:rsidR="0012284F" w:rsidRDefault="0012284F" w:rsidP="0012284F">
      <w:pPr>
        <w:pStyle w:val="NormlWeb"/>
        <w:spacing w:before="0" w:beforeAutospacing="0" w:after="18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2" w:name="pr119"/>
      <w:bookmarkEnd w:id="2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 wp14:anchorId="52D7DFD3" wp14:editId="3EB27F77">
            <wp:extent cx="190500" cy="139065"/>
            <wp:effectExtent l="0" t="0" r="0" b="0"/>
            <wp:docPr id="3" name="Kép 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222222"/>
          <w:sz w:val="20"/>
          <w:szCs w:val="20"/>
        </w:rPr>
        <w:t>Vállalkozók nettó árbevételének a kiszámítása</w:t>
      </w:r>
    </w:p>
    <w:p w:rsidR="0012284F" w:rsidRDefault="0012284F" w:rsidP="0012284F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3" w:name="pr120"/>
      <w:bookmarkEnd w:id="3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 wp14:anchorId="60D0BB97" wp14:editId="42B97502">
            <wp:extent cx="190500" cy="139065"/>
            <wp:effectExtent l="0" t="0" r="0" b="0"/>
            <wp:docPr id="2" name="Kép 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 wp14:anchorId="5FCAAFCE" wp14:editId="7DC7691E">
            <wp:extent cx="5713095" cy="2684780"/>
            <wp:effectExtent l="0" t="0" r="1905" b="1270"/>
            <wp:docPr id="1" name="Kép 1" descr="http://net.jogtar.hu/jr/gen/gp2_299_A0800035$BPM__3_a1100054ngm$A40289$A1a$Amk16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.jogtar.hu/jr/gen/gp2_299_A0800035$BPM__3_a1100054ngm$A40289$A1a$Amk163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6F" w:rsidRDefault="00EC646F"/>
    <w:sectPr w:rsidR="00EC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4F"/>
    <w:rsid w:val="0012284F"/>
    <w:rsid w:val="00E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Adóügy - Önkormányzat Töltéstava</dc:creator>
  <cp:lastModifiedBy>Adóügy - Önkormányzat Töltéstava</cp:lastModifiedBy>
  <cp:revision>1</cp:revision>
  <dcterms:created xsi:type="dcterms:W3CDTF">2012-02-22T12:50:00Z</dcterms:created>
  <dcterms:modified xsi:type="dcterms:W3CDTF">2012-02-22T12:52:00Z</dcterms:modified>
</cp:coreProperties>
</file>